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Internal Memo – FY23 Pricing Assumptions (Healthcare)</w:t>
      </w:r>
    </w:p>
    <w:p>
      <w:pPr>
        <w:pStyle w:val="Heading2"/>
      </w:pPr>
      <w:r>
        <w:t>Purpose</w:t>
      </w:r>
    </w:p>
    <w:p>
      <w:r>
        <w:t>This memo summarizes key pricing assumptions used in the FY23–FY25 operating plan for the Healthcare segment and highlights areas requiring messaging discipline.</w:t>
      </w:r>
    </w:p>
    <w:p>
      <w:pPr>
        <w:pStyle w:val="Heading2"/>
      </w:pPr>
      <w:r>
        <w:t>Baseline Methodology</w:t>
      </w:r>
    </w:p>
    <w:p>
      <w:r>
        <w:t>Most healthcare accounts are modeled using contractual escalators or annual repricing frameworks. Base case does not assume unilateral price rollbacks; sensitivity reflects churn/retender risk where appropriate.</w:t>
      </w:r>
    </w:p>
    <w:p>
      <w:pPr>
        <w:pStyle w:val="Heading2"/>
      </w:pPr>
      <w:r>
        <w:t>Exception Treatment (Limited)</w:t>
      </w:r>
    </w:p>
    <w:p>
      <w:r>
        <w:t>A small number of disruption-era actions are embedded into baseline assumptions for planning purposes where management believes rollback is commercially infeasible absent renegotiation.</w:t>
      </w:r>
    </w:p>
    <w:p>
      <w:r>
        <w:t>Alpine Medical is unique in the current base case: it is modeled at post‑June 2022 pricing across FY23–FY25 due to documented tender sensitivity and customer insistence on pricing stability. This assumption is subject to periodic governance review.</w:t>
      </w:r>
    </w:p>
    <w:p>
      <w:pPr>
        <w:pStyle w:val="Heading2"/>
      </w:pPr>
      <w:r>
        <w:t>Documentation Discipline</w:t>
      </w:r>
    </w:p>
    <w:p>
      <w:r>
        <w:t>Externally: describe disruption-era actions as temporary accommodations tied to market conditions.</w:t>
        <w:br/>
        <w:t>Internally: use ‘planning assumption’ language; avoid phrasing suggesting a permanent contractual reset.</w:t>
      </w:r>
    </w:p>
    <w:p>
      <w:r>
        <w:br w:type="page"/>
      </w:r>
    </w:p>
    <w:p>
      <w:r>
        <w:t>CONFIDENTIAL – Synthetic demo document for AIDE.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