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Pricing Amendment – Draft v1 (Redline)</w:t>
      </w:r>
    </w:p>
    <w:p>
      <w:pPr>
        <w:pStyle w:val="Heading2"/>
      </w:pPr>
      <w:r>
        <w:t>Section 1. Pricing Adjustment</w:t>
      </w:r>
    </w:p>
    <w:p>
      <w:r>
        <w:t>Effective June 15, 2022, the Unit Prices shall be adjusted as set forth in Exhibit A.</w:t>
      </w:r>
    </w:p>
    <w:p>
      <w:pPr>
        <w:pStyle w:val="Heading2"/>
      </w:pPr>
      <w:r>
        <w:t>Section 2. Reversion</w:t>
      </w:r>
    </w:p>
    <w:p>
      <w:r>
        <w:t>Upon stabilization of supply markets (including raw materials and freight), as reasonably determined by Seller, the Unit Prices shall revert to the pre-adjustment schedule.</w:t>
      </w:r>
    </w:p>
    <w:p>
      <w:r>
        <w:t>Comment (Sales): Customer requests predictability. Consider defining stabilization period to avoid disputes.</w:t>
      </w:r>
    </w:p>
    <w:p>
      <w:pPr>
        <w:pStyle w:val="Heading2"/>
      </w:pPr>
      <w:r>
        <w:t>Section 3. Review</w:t>
      </w:r>
    </w:p>
    <w:p>
      <w:r>
        <w:t>The Parties shall meet quarterly to review market conditions and the continued applicability of the Pricing Adjustment.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